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——黄村镇第二办公区食堂预算项目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项目申报单位（科室）：张帆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项目申报时间：2026年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黄村镇第二办公区食堂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69249741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保障第二办公区工作人员正常就餐，提高后勤保障水平。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316万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316万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69249741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周 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机关食堂保障经费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保障第二办公区工作人员正常就餐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kZWM0MjEzYThhZDE2OWZkYzllODliZjcyNzJkY2EifQ=="/>
  </w:docVars>
  <w:rsids>
    <w:rsidRoot w:val="34B53ED7"/>
    <w:rsid w:val="0A5D4D63"/>
    <w:rsid w:val="128A6672"/>
    <w:rsid w:val="13F73D10"/>
    <w:rsid w:val="24FC7548"/>
    <w:rsid w:val="2F471EE1"/>
    <w:rsid w:val="308113CB"/>
    <w:rsid w:val="34B53ED7"/>
    <w:rsid w:val="4C9D1291"/>
    <w:rsid w:val="4F815F87"/>
    <w:rsid w:val="54F9326F"/>
    <w:rsid w:val="59467262"/>
    <w:rsid w:val="5F752324"/>
    <w:rsid w:val="625005B0"/>
    <w:rsid w:val="651C2939"/>
    <w:rsid w:val="69E40D3C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452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2024-08-30T05:05:34Z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B08D16E4821A4D38A23D60BF1F346254_13</vt:lpwstr>
  </property>
</Properties>
</file>